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016" w:rsidRDefault="00135016">
      <w:r>
        <w:t>Summary</w:t>
      </w:r>
    </w:p>
    <w:p w:rsidR="00000000" w:rsidRDefault="00135016">
      <w:r>
        <w:t xml:space="preserve">Towards the initiative of preparation of students for the workplace legal requirements, it is essential to develop strategies for promoting access that encompasses the ever-changing audiences. The initiative should focus on the development of user-friendly technologies for the disabled to engage them about ADA and captioning standard requirements. </w:t>
      </w:r>
    </w:p>
    <w:p w:rsidR="00135016" w:rsidRDefault="00135016">
      <w:r>
        <w:t xml:space="preserve">Hyperlink; </w:t>
      </w:r>
      <w:hyperlink r:id="rId4" w:history="1">
        <w:r w:rsidRPr="003F7279">
          <w:rPr>
            <w:rStyle w:val="Hyperlink"/>
          </w:rPr>
          <w:t>https://journals.sagepub.com/doi/full/10.1177/2329490617748710</w:t>
        </w:r>
      </w:hyperlink>
      <w:r>
        <w:t xml:space="preserve"> </w:t>
      </w:r>
    </w:p>
    <w:sectPr w:rsidR="00135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135016"/>
    <w:rsid w:val="00135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0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ournals.sagepub.com/doi/full/10.1177/23294906177487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2019-07-03T23:06:00Z</dcterms:created>
  <dcterms:modified xsi:type="dcterms:W3CDTF">2019-07-03T23:11:00Z</dcterms:modified>
</cp:coreProperties>
</file>